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Отчёт о работе комитета ТРОПРЗ РФ 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за период с декабря 2014 года по ноябрь 2019 года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Уважаемые коллеги!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Приветствую делегатов и гостей 43 отчётно-выборной конференции Татарстанской республиканской организации профсоюза работников здравоохранения РФ на гостеприимной территории</w:t>
      </w:r>
      <w:r w:rsidRPr="00C73FB2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Отеля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«</w:t>
      </w:r>
      <w:r w:rsidRPr="00C73F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Ногай»,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расположенного в самом центре города </w:t>
      </w:r>
      <w:r w:rsidRPr="00C73F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Казани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и, что символично, - на улице Профсоюзной.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Наша конференция проходит в период активного обсуждения и реализации новых национальных проектов, в том числе проектов «Демография» и «Здравоохранение», подготовленных на основании поручений и Указа Президента РФ В.В. Путина от 7 мая 2018 года. Вопросы, поставленные в поручениях, касаются работы и выборных профсоюзных органов и являются поводом для обсуждения ситуации в здравоохранении.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эти дни истекает срок полномочий всех выборных органов Татарстанской республиканской организации Профсоюза. Материалы к отчёту о деятельности комитета ТРОПРЗ РФ в период с декабря 2014 года по ноябрь 2019 года Вы получили в ходе регистрации, подробный отчет размещен на нашем сайте. В своём докладе я хочу остановиться на наиболее значимых вехах нашей совместно проведённой работы и, главное - обсудить с Вами задачи на предстоящий период деятельности.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основу деятельности ТРОПРЗ РФ были заложены решения 9 и 10 съездов Федерации Независимых Профсоюзов России, 6 съезда Профсоюза отрасли, решения 42 республиканской отчётно-выборной профсоюзной конференции.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(Слайд 3)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Среди приоритетов в работе рескома с учётом социально-экономической обстановки наиболее важными являлись вопросы оплаты труда. Работа по повышению уровня оплаты труда работников отрасли проводилась в рамках исполнения Указа Президента Российской Федерации от 7 мая 2012 года №597. Анализ исполнения дорожной карты по учреждениям республики заслушивался ежегодно на заседаниях президиума и на пленумах комитета ТРОПРЗ РФ. Был организован мониторинг ситуации. Реском в 2014 году обращался в Правительство РТ по вопросу приведения контрольных цифр региональной карты в соответствие с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федеральной дорожной картой (то-есть, по увеличению показателей). Мы были услышаны. Целевые показатели региональной дорожной карты практически выполнялись ежегодно. Исполнение Указа в полном объёме было достигнуто в 2018 году.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4)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Реализация Указов Президента РФ от 7 мая 2012 года привела к тому, что на сегодняшний день по </w:t>
      </w:r>
      <w:r w:rsidRPr="00C73FB2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>сравнению с 2012 годом заработная плата в номинальном исчислении выросла у врачей в 1,97 раза, у средних медработников — в 1,68, а у младшего медицинского персонала — почти в 2,5 раза.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И нам важно сохранять достигнутые параметры.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5)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Совместно с Минздравом РТ продолжалась работа по совершенствованию действующих условий оплаты труда, по повышению составных элементов заработной платы для разных категорий работников отрасли.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С 2014 по 2019 годы по инициативе Профсоюза Кабинетом Министров РТ принято 11 Постановлений и распоряжений о внесении изменений и дополнений в нормативные акты по оплате труда.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 информации, размещенной на сайте ТРОПРЗ РФ, мы описали подробно достигнутые положительные сдвиги в оплате труда той или иной категории медработников.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6)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Так, удалось сохранить размер заработной платы по ранее занимаемой должности для младшего медицинского персонала в связи с их массовым сокращением и переводом с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1 июля 2016 года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 состав общеотраслевых должностей рабочих.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</w:rPr>
        <w:t>З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адача, поставленная на предыдущей конференции, по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увеличению </w:t>
      </w:r>
      <w:r w:rsidRPr="00C73FB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выплаты за квалификационную категорию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у врачей в два раза, у среднего медицинского персонала в полтора раза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была решена в 2018 году.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нашей республике </w:t>
      </w:r>
      <w:r w:rsidRPr="00C73F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удалось сохранить выплаты стимулирующего характера врачам и среднему медперсоналу, ранее установленные в рамках «Программы модернизации» и «Приоритетного национального проекта «Здоровье», без применения критериев. Эти выплаты сохранились не во всех регионах.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32"/>
          <w:szCs w:val="32"/>
          <w:highlight w:val="yellow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Предложение Российской трехсторонней комиссии (РТК) на 2018 год по установлению</w:t>
      </w:r>
      <w:r w:rsidRPr="00C73FB2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 xml:space="preserve"> доли гарантированной, окладной части в структуре зарплаты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не ниже 55 процентов, с точки зрения Министерства финансов РТ, в республике реализовано с 1 февраля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2018 года. В связи с переводом медицинского персонала на окладную систему оплаты труда.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7)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Учитывая, что в рамках выполнения Указа Президента Российской Федерации от 07.05.2012г. №597 достижение целевых показателей по заработной плате отдельных категорий медицинских работников достигалось за счет премиальных выплат, фактическая доля окладной части на 1 человека за первый квартал 2019 года (без учета средств от внебюджетной деятельности) составила по врачам – 30%, по среднему медицинскому персоналу – 39,4%, младшему медицинскому персоналу – 31,9%. Данные показатели ниже значений, предусмотренных в Единых рекомендациях.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8)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Наши предложения о включении в структуру должностного оклада премиальных выплат, предусмотренных в рамках доведения уровня заработной платы до параметров, заложенных в Указе Президента РФ, были озвучены в октябре 2019 года на встрече профсоюзов с Правительством РТ и на Парламентских слушаниях по бюджету РТ на 2020-2022 годы.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Задача по совершенствованию системы оплаты труда сохраняется и на предстоящий период.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9)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Предложение ФНПР об установлении минимального размера оплаты труда (МРОТ) на уровне прожиточного минимума осуществлено с первого мая 2018 года. Рескому профсоюза в ходе переписки с Минтрудом РТ и РФ, Минздравом, Президентом РТ, ЦК Профсоюза удалось выработать мнение о МРОТ как о минимальном размере оклада, без учёта выплат компенсационного и стимулирующего характера. Рескомом осуществляется контроль за механизмом доведения базовых окладов работников до МРОТ в учреждениях отрасли, даются консультации.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Необходимо в Трудовом кодексе РФ закрепить нормативно-правовые принципы МРОТ, минимальной зарплаты, периодичность и критерии индексации зарплаты. И здесь наше мнение совпадает с позицией ФНПР, принятой на заседании Генсовета 30 октября т.г. по нормотворческой программе профсоюзов.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10)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отчётном периоде неразрешённой задачей оставался вопрос уровня оплаты труда работников, не подпавших под действие Указа Президента РФ. Это профессиональные квалификационные группы общеотраслевых профессий рабочих и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должностей руководителей, специалистов и служащих. Базовый оклад по этим должностям в размере 5554 рубля не менялся с 2014 года. На встречах с Кабинетом министров РТ ежегодно ставился этот вопрос.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11)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Буквально накануне конференции 18.10.2019г. принято постановление Кабинета Министров РТ №938. Данное постановление вносит ряд изменений в действующую систему оплаты труда работников отрасли с 01 января 2020 года. Основные изменения затрагивают работников общеотраслевых должностей рабочих, специалистов и служащих, им увеличен должностной оклад. Однако часть надтарифных выплат отменена или снижена.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12)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При внесении изменений в систему оплаты труда также не были учтены предложения республиканского комитета по установлению минимального должностного оклада труда не ниже МРОТ, что приведет к тому, что у значительной категории работников общеотраслевых должностей рабочих, специалистов и служащих заработная плата по основной должности с 01 января 2020 года будет ниже МРОТ.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13)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связи со сложившейся ситуацией комитет ТРОПРЗ РФ направил обращение в Министерство здравоохранения РТ о необходимости продолжить работу по установлению Базовых окладов работникам профессиональных квалификационных групп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 общеотраслевых профессий рабочих и общеотраслевых должностей руководителей, специалистов и служащих не ниже МРОТ, либо предусмотреть выделение дополнительного финансирования на установление заработной платы не ниже МРОТ.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>Основной задачей Профсоюза на предстоящий период считаю</w:t>
      </w:r>
      <w:r w:rsidRPr="00C73FB2">
        <w:rPr>
          <w:rFonts w:ascii="Times New Roman" w:eastAsia="Calibri" w:hAnsi="Times New Roman" w:cs="Times New Roman"/>
          <w:i/>
          <w:sz w:val="32"/>
          <w:szCs w:val="32"/>
        </w:rPr>
        <w:t xml:space="preserve"> </w:t>
      </w:r>
      <w:r w:rsidRPr="00C73FB2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повышение уровня оплаты труда работников государственных учреждений здравоохранения Республики Татарстан</w:t>
      </w:r>
      <w:r w:rsidRPr="00C73FB2">
        <w:rPr>
          <w:rFonts w:ascii="Times New Roman" w:eastAsia="Calibri" w:hAnsi="Times New Roman" w:cs="Times New Roman"/>
          <w:i/>
          <w:sz w:val="32"/>
          <w:szCs w:val="32"/>
        </w:rPr>
        <w:t>.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Уважаемые делегаты и приглашённые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0303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14)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Социально трудовые вопросы работников здравоохранения, в том числе оплаты труда, найма и увольнения, режима рабочего времени, повышенных социальных льгот, условий и охраны труда, решаются посредством заключения коллективных договоров в 100% учреждений отрасли, а на уровне отрасли республики -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заключением Отраслевого соглашения между комитетом ТРОПРЗ РФ и Минздравом РТ. 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В рамках Отраслевого соглашения производилось и совершенствование вопросов оплаты труда. В июне 2018 года было подписано дополнительное соглашение к Отраслевому соглашению, где, в числе прочих, урегулирован вопрос выплат компенсационного характера за работу во вредных условиях труда, подтвержденных результатами СОУТ, в размере от 4 до 12%. Также решен вопрос оплаты труда медицинского персонала, привлекаемого к дежурствам в стационаре без занятия штатной должности. Ранее в Отраслевом соглашении был решён вопрос организации и оплаты дежурств медицинского персонала на дому.</w:t>
      </w:r>
    </w:p>
    <w:p w:rsidR="00C73FB2" w:rsidRPr="00C73FB2" w:rsidRDefault="00C73FB2" w:rsidP="00C73FB2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15)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Работники учреждений на местах активно использовали и другие льготы и гарантии, установленные в Отраслевом соглашении ранее. В 2016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году профсоюзу удалось отстоять право педагогических работников государственных медицинских организаций Республики Татарстан на дополнительный оплачиваемый отпуск в 28 календарных дней. Таким же образом решён вопрос о сохранении гарантий, в том числе дополнительного отпуска в 14 календарных дней для санитарок, переведённых с их согласия на другие должности общеотраслевых профессий с 01.07.2016 года.</w:t>
      </w:r>
    </w:p>
    <w:p w:rsidR="00C73FB2" w:rsidRPr="00C73FB2" w:rsidRDefault="00C73FB2" w:rsidP="00C73FB2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Программа негосударственного пенсионного обеспечения работников бюджетной сферы, предложенная ассоциацией профсоюзов непроизводственной сферы РТ, реализуется в отрасли с 2007 года.</w:t>
      </w:r>
    </w:p>
    <w:p w:rsidR="00C73FB2" w:rsidRPr="00C73FB2" w:rsidRDefault="00C73FB2" w:rsidP="00C73FB2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Программа оздоровления работников в санаторно-курортных учреждениях, предложенная профсоюзами бюджетных отраслей, решается на основании постановления Кабинета Министров РТ №184. </w:t>
      </w:r>
    </w:p>
    <w:p w:rsidR="00C73FB2" w:rsidRPr="00C73FB2" w:rsidRDefault="00C73FB2" w:rsidP="00C73FB2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16)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 республике реализуется ряд мер для привлечения медицинских кадров. Это и программа «Земский доктор» и «Земский фельдшер» и «Грантовая программа» Правительства РТ, оказание материальной помощи молодым специалистам и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др.</w:t>
      </w:r>
    </w:p>
    <w:p w:rsidR="00C73FB2" w:rsidRPr="00C73FB2" w:rsidRDefault="00C73FB2" w:rsidP="00C73FB2">
      <w:p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декабре заканчивается действие Отраслевого Соглашения на 2017-2019гг. На сайте ТРОПРЗ РФ размещён проект Отраслевого Соглашения на 2020-2022гг. При подготовке данного проекта учтены новации трудового законодательства, отраслевые акты и установлены льготы для работников отрасли. В настоящее время ведутся переговоры по его заключению.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(Слайд 17)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Для оказания практической помощи председателям первичных профсоюзных организаций и руководителям учреждений здравоохранения  на сайте комитета ТРОПРЗ ежегодно размещается обновлённый Макет коллективного договора для учреждений здравоохранения.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Ежегодно специалистами комитета ТРОПРЗ проводилась экспертная оценка коллективных договоров. С 2017 года утверждён регламент экспертизы коллективных договоров. Комитет ТРОПРЗ РФ оказал помощь каждому райкому профсоюза в освоении методики проведения экспертизы.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18)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За отчётный период комитет Татарстанской республиканской организации профсоюза работников здравоохранения РФ принял участие в 3 республиканских конкурсах Федерации профсоюзов РТ на «Лучший коллективный договор», в 2-ух конкурсах ЦК Профсоюза. 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Уважаемые коллеги!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 xml:space="preserve">Правозащитная деятельность,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участие в законотворческой деятельности были основными в отчётном периоде.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(Слайд 19)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Правовым инспектором труда ЦК Профсоюза, специалистами комитета ТРОПРЗ РФ, внештатными правовыми инспекторами ежегодно проводились комплексные и тематические проверки с выходом на места по различным направлениям правозащитной работы по плану рескома профсоюза, а также по темам, определённым ЦК Профсоюза.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На экране видно, какие типичные нарушения были выявлены при проверках: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Специалистами отдела социальной защиты комитета ТРОПРЗ РФ проверки проводились по вопросам соблюдения гарантий по оплате труда за работу в условиях, отклоняющихся от нормальных: при совместительстве; при сверхурочной работе; в ночное время; в выходные и нерабочие праздничные дни, дежурствах на дому. </w:t>
      </w:r>
    </w:p>
    <w:p w:rsidR="00C73FB2" w:rsidRPr="00C73FB2" w:rsidRDefault="00C73FB2" w:rsidP="00C73F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20)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Выявлены нарушения в оплате труда медицинского персонала, работающего сверх нормы рабочего времени. Страдает оформление локальных нормативных актов, ознакомление с ними работников. По результатам проверок 2015-</w:t>
      </w:r>
      <w:smartTag w:uri="urn:schemas-microsoft-com:office:smarttags" w:element="metricconverter">
        <w:smartTagPr>
          <w:attr w:name="ProductID" w:val="2018 г"/>
        </w:smartTagPr>
        <w:r w:rsidRPr="00C73FB2">
          <w:rPr>
            <w:rFonts w:ascii="Times New Roman" w:eastAsia="Calibri" w:hAnsi="Times New Roman" w:cs="Times New Roman"/>
            <w:color w:val="000000"/>
            <w:sz w:val="32"/>
            <w:szCs w:val="32"/>
            <w:lang w:eastAsia="ru-RU"/>
          </w:rPr>
          <w:t>2018 г</w:t>
        </w:r>
      </w:smartTag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.г. было предъявлено 356 предложений об устранении выявленных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lastRenderedPageBreak/>
        <w:t>нарушений трудового законодательства, из которых 305 были устранены.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21)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Справки по результатам проверки выносились на обсуждение 8 заседаний президиума и 4 заседаний комиссий комитета ТРОПРЗ РФ. В постановлениях президиума определены мероприятия по устранению недостатков.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В рескоме Профсоюза и на местах осуществляется контроль за соблюдением законодательных актов при ликвидации, реорганизации, или смене собственника в учреждениях отрасли. Сокращение работников в период с 2015 по 2018 годы происходило без нарушения норм трудового законодательства. Правовой инспектор труда, как член Общественного совета Минздрава РТ,  курирует данный вопрос. 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Обращения в судебные органы большей частью связаны с решением вопросов пенсионного обеспечения, имеются примеры по восстановлению незаконно уволенных членов профсоюза, по присвоению звания «Ветеран труда», правомерности применения к работникам дисциплинарных взысканий.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22)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Всего за 2015-2018 годы с участием правового инспектора и иных представителей работников рассмотрено 754 спора в судебных инстанциях Республики. Большую часть судебных решений составляют решения о назначении страховых пенсий по старости, 96% исковых требований удовлетворено судом полностью или частично. 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23)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Комитет ТРОПРЗ РФ и правовой инспектор труда по итогам республиканского конкурса ФП РТ «За лучшую постановку правозащитной работы» по итогам 2018 года удостоились награды и звания победителя.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Экономическая эффективность от всех форм правозащитной работы за отчетный период составила более 42 млн. рублей.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«Горячим вопросом» в отчётном периоде стала Концепция Правительства РФ о повышении пенсионного возраста, внесённая в Государственную Думу ФС РФ, не поддержанная профсоюзными организациями. Комитет ТРОПРЗ РФ рекомендовал членским организациям провести сбор подписей членов коллектива в поддержку консолидированной позиции профсоюзов. Свыше 17 тысяч подписей членов отраслевого профсоюза республики направлены в адрес Председателя Государственной Думы ФС РФ В.В.Володина. Однако закон был принят, вступил в действие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с 1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lastRenderedPageBreak/>
        <w:t>января 2019 года,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закрепил пенсионный возраст на уровне 65 и 60 лет для мужчин и женщин соответственно. В то же время закон сохранил пенсионный возраст для работников, занятых на работах с вредными и опасными условиями труда, включенных в списки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val="en-US" w:eastAsia="ru-RU"/>
        </w:rPr>
        <w:t>I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 и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val="en-US" w:eastAsia="ru-RU"/>
        </w:rPr>
        <w:t>II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, сохранил срок стажа для получения досрочной пенсии для медработников. </w:t>
      </w:r>
      <w:r w:rsidRPr="00C73FB2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 xml:space="preserve">В президентских поправках нашла отражение инициатива профсоюза по повышению возраста выхода на досрочную пенсию не на 8, а на 5 лет, а также установление дополнительных гарантий для лиц предпенсионного возраста. 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Calibri" w:eastAsia="Calibri" w:hAnsi="Calibri" w:cs="Segoe UI"/>
          <w:color w:val="2B2E31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24) </w:t>
      </w:r>
      <w:r w:rsidRPr="00C73FB2"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  <w:t xml:space="preserve">Поддерживаем позицию ФНПР по </w:t>
      </w:r>
      <w:r w:rsidRPr="00C73FB2">
        <w:rPr>
          <w:rFonts w:ascii="Roboto" w:eastAsia="Calibri" w:hAnsi="Roboto" w:cs="Segoe UI"/>
          <w:color w:val="2B2E31"/>
          <w:sz w:val="32"/>
          <w:szCs w:val="32"/>
          <w:lang w:eastAsia="ru-RU"/>
        </w:rPr>
        <w:t>формированию индивидуального пенсионного капитала исключительно на добровольной основе.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2B2E31"/>
          <w:sz w:val="32"/>
          <w:szCs w:val="32"/>
          <w:lang w:eastAsia="ru-RU"/>
        </w:rPr>
        <w:t>Задачи на предстоящий период в области правовой защиты вы видите на слайде.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Уважаемые коллеги!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целях улучшения условий труда, снижения производственного травматизма республиканским комитетом Профсоюза, Министерством здравоохранения РТ осуществлялся необходимый комплекс мероприятий.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Работа проводилась в соответствии с «Планом мероприятий, направленных на улучшение условий и охраны труда работников в учреждениях здравоохранения Республики Татарстан»,  утверждённым приказом МЗ РТ и согласованным с ТРОПРЗ РФ. Данные мероприятия включены в планы работы учреждений, интегрированы в обязательства коллективных договоров и соглашений по охране труда, являющихся приложением к колдоговору. </w:t>
      </w:r>
    </w:p>
    <w:p w:rsidR="00C73FB2" w:rsidRPr="00C73FB2" w:rsidRDefault="00C73FB2" w:rsidP="00C73FB2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(Слайд 25)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Важным показателем, характеризующим состояние охраны труда, является сумма затрат на охрану труда в целом по учреждению и на одного работающего, которые ежегодно возрастают.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За прошедший отчетный период (2015-2019г.г.), затраты в учреждениях здравоохранения республики на охрану труда составили более 2 млрд. рублей. В перерасчете на одного работающего затраты с 2015 года выросли более чем на 4 тыс. рублей и составили на 01.01.2019г. - 9170</w:t>
      </w:r>
      <w:r w:rsidRPr="00C73FB2">
        <w:rPr>
          <w:rFonts w:ascii="Times New Roman" w:eastAsia="Calibri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рублей.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Эти средства были направлены на приобретение специальной одежды, обуви, и других средств индивидуальной защиты, на проведение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специальной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оценки условий труда (СОУТ) на рабочих местах, проведение вакцинации.</w:t>
      </w:r>
    </w:p>
    <w:p w:rsidR="00C73FB2" w:rsidRPr="00C73FB2" w:rsidRDefault="00C73FB2" w:rsidP="00C73FB2">
      <w:pPr>
        <w:tabs>
          <w:tab w:val="left" w:pos="97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t>(Слайд 26)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Общественный контроль вопросов охраны труда в ТРОПРЗ РФ осуществляли технический инспектор труда, 4 внештатных технических инспектора, на местах - уполномоченные лица, комиссии по охране труда учреждений. </w:t>
      </w: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27)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За отчетный период техническим инспектором труда, профактивом проведены проверки по охране труда в 92 медицинских учреждениях, из них 14 тематических, выявлено 1101 нарушение законодательства. Руководителям учреждений здравоохранения выдано 92 представления по устранению выявленных нарушений.</w:t>
      </w:r>
    </w:p>
    <w:p w:rsidR="00C73FB2" w:rsidRPr="00C73FB2" w:rsidRDefault="00C73FB2" w:rsidP="00C73FB2">
      <w:pPr>
        <w:tabs>
          <w:tab w:val="left" w:pos="9720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Значительная работа была проведена комитетом ТРОПРЗ РФ по реализации закона «О специальной оценке условий труда». Изучение новой процедуры по оценке рабочих мест проводилось на семинарах и совещаниях, организованных и проведенных совместно с Минздравом РТ, с выездом на места.</w:t>
      </w:r>
    </w:p>
    <w:p w:rsidR="00C73FB2" w:rsidRPr="00C73FB2" w:rsidRDefault="00C73FB2" w:rsidP="00C73FB2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На основании выявленных проблем и недостатков предложения по совершенствованию нормативно-правовых актов были направлены в Минтруд РФ и РТ, ЦК Профсоюза, председателю ФНПР Шмакову М.В. - координатору профсоюзной стороны в РТК.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результате настойчивых обращений Профсоюзу отрасли удалось добиться внесения изменений в нормативную базу и, соответственно, изменить подходы к оценке условий труда, особенно по биологическому фактору, в том числе по самым сложным  направлениям работы (хирургии, анестезиологии, психиатрии и др.). Следует отметить, что председатели профкомов приняли активное участие в проведении СОУТ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ряде учреждений ситуация, связанная с занижением классов, была исправлена, и проведена внеплановая СОУТ по представлению технического инспектора труда (ГАУЗ «Бавлинская ЦРБ» и ГУЗ «Черемшанская ЦРБ»).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Наряду с этим ещё немало учреждений, где также необходимо исправить положение и провести внеплановую СОУТ.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right="279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28)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Учитывая важность сохранения льгот медработникам, комитету ТРОПРЗ РФ через Отраслевое соглашение с ноября 2014 года удалось сохранить дополнительные отпуска для </w:t>
      </w:r>
      <w:r w:rsidRPr="00C73FB2">
        <w:rPr>
          <w:rFonts w:ascii="Times New Roman" w:eastAsia="Calibri" w:hAnsi="Times New Roman" w:cs="Times New Roman"/>
          <w:sz w:val="32"/>
          <w:szCs w:val="32"/>
          <w:u w:val="single"/>
          <w:lang w:eastAsia="ru-RU"/>
        </w:rPr>
        <w:t>медработников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продолжительностью 14 календарных дней при установлении по результатам СОУТ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класса вредности, начиная со второй степени (классы 3.2, 3.3, 3.4 и 4) </w:t>
      </w:r>
    </w:p>
    <w:p w:rsidR="00C73FB2" w:rsidRPr="00C73FB2" w:rsidRDefault="00C73FB2" w:rsidP="00C73FB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>К середине 2019 года в медицинских учреждениях республики оценено 95% рабочих мест, мониторинг качества проведения СОУТ продолжается.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29)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отчётном периоде не достигнуто существенного снижения производственного травматизма, ежегодно констатируются тяжёлые и групповые случаи, есть и со смертельным исходом.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Самый высокий уровень травматизма в отрасли зафиксирован в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2017 году,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 причина – в большом количестве ДТП, в которые попадают машины скорой помощи. 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Не снижается число нападений на медработников, особенно сотрудников станций и отделений скорой медицинской помощи. По всей республике в 2017 году проводился сбор подписей медработников за ужесточение наказания за нападение на медработников. В июле 2019г. приняты </w:t>
      </w:r>
      <w:hyperlink r:id="rId5" w:tgtFrame="_blank" w:history="1">
        <w:r w:rsidRPr="00C73FB2">
          <w:rPr>
            <w:rFonts w:ascii="Times New Roman" w:eastAsia="Calibri" w:hAnsi="Times New Roman" w:cs="Times New Roman"/>
            <w:sz w:val="32"/>
            <w:szCs w:val="32"/>
            <w:lang w:eastAsia="ru-RU"/>
          </w:rPr>
          <w:t>поправки в Кодекс об административных правонарушениях</w:t>
        </w:r>
      </w:hyperlink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, а также </w:t>
      </w:r>
      <w:hyperlink r:id="rId6" w:tgtFrame="_blank" w:history="1">
        <w:r w:rsidRPr="00C73FB2">
          <w:rPr>
            <w:rFonts w:ascii="Times New Roman" w:eastAsia="Calibri" w:hAnsi="Times New Roman" w:cs="Times New Roman"/>
            <w:sz w:val="32"/>
            <w:szCs w:val="32"/>
            <w:lang w:eastAsia="ru-RU"/>
          </w:rPr>
          <w:t>изменения в Уголовный и Уголовно-процессуальный кодексы</w:t>
        </w:r>
      </w:hyperlink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, устанавливающие ответственность за воспрепятствование работе врачей и проезду машин скорой помощи.</w:t>
      </w:r>
    </w:p>
    <w:p w:rsidR="00C73FB2" w:rsidRPr="00C73FB2" w:rsidRDefault="00C73FB2" w:rsidP="00C73FB2">
      <w:pPr>
        <w:shd w:val="clear" w:color="auto" w:fill="FFFFFF"/>
        <w:spacing w:before="5"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30)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Важную роль в снижении заболеваемости и травматизма играют профилактические мероприятия. Так, продолжено оздоровление работников рентгеновской службы, лучевой диагностики и станций скорой медицинской помощи в республиканском центре реабилитации МЧС РТ. За отчетный период оздоровление в Центре Реабилитации МЧС РТ прошли  </w:t>
      </w:r>
      <w:r w:rsidRPr="00C73F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1007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человек. Кроме того предоставляется 20-процентная скидка членам профсоюза на приобретение путевок в профсоюзные санатории, а также частичная компенсация стоимости путевки в размере до 20% в зависимости от профстажа. За период 2015-2018г.г. и 9 месяцев 2019г. этой льготой воспользовались </w:t>
      </w:r>
      <w:r w:rsidRPr="00C73F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1034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работника здравоохранения.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(Слайд 31)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ab/>
        <w:t>Задачи по охране труда на предстоящий период вы видите на слайде.</w:t>
      </w:r>
    </w:p>
    <w:p w:rsidR="00C73FB2" w:rsidRPr="00C73FB2" w:rsidRDefault="00C73FB2" w:rsidP="00C73FB2">
      <w:pPr>
        <w:spacing w:after="0" w:line="240" w:lineRule="auto"/>
        <w:ind w:left="2124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Уважаемые делегаты и гости!</w:t>
      </w:r>
    </w:p>
    <w:p w:rsidR="00C73FB2" w:rsidRPr="00C73FB2" w:rsidRDefault="00C73FB2" w:rsidP="00C73FB2">
      <w:pPr>
        <w:spacing w:after="0" w:line="240" w:lineRule="auto"/>
        <w:ind w:left="2124"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Критерием эффективности работы Профсоюза считается показатель охвата профсоюзным членством и численный состав профсоюзных организаций. 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В результате реорганизации учреждений здравоохранения, связанной с оптимизацией (сокращением) сети учреждений и численности работающих в учреждениях здравоохранения, количество первичных организаций Профсоюза за период с 2014 по 2019 гг. сократилось на 17. </w:t>
      </w: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32)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Напомню, что Татарстанская республиканская организация Профсоюза объединяет по состоянию на 01.01.2019г. 79129человек. Охват профсоюзным членством на 01.01.2019г. составляет 80% от общего числа работающих и учащихся. 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 целью увеличения профсоюзного членства комитетом ТРОПРЗ РФ применялись новые методы работы, рекомендованные ЦК Профсоюза в </w:t>
      </w:r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>Концепции кадровой политики и Концепции профсоюзного обучения отраслевого Профсоюза (</w:t>
      </w:r>
      <w:smartTag w:uri="urn:schemas-microsoft-com:office:smarttags" w:element="metricconverter">
        <w:smartTagPr>
          <w:attr w:name="ProductID" w:val="2016 г"/>
        </w:smartTagPr>
        <w:r w:rsidRPr="00C73FB2">
          <w:rPr>
            <w:rFonts w:ascii="Times New Roman" w:eastAsia="Calibri" w:hAnsi="Times New Roman" w:cs="Times New Roman"/>
            <w:color w:val="000000"/>
            <w:sz w:val="32"/>
            <w:szCs w:val="32"/>
            <w:lang w:eastAsia="ru-RU"/>
          </w:rPr>
          <w:t>2016 г</w:t>
        </w:r>
      </w:smartTag>
      <w:r w:rsidRPr="00C73FB2">
        <w:rPr>
          <w:rFonts w:ascii="Times New Roman" w:eastAsia="Calibri" w:hAnsi="Times New Roman" w:cs="Times New Roman"/>
          <w:color w:val="000000"/>
          <w:sz w:val="32"/>
          <w:szCs w:val="32"/>
          <w:lang w:eastAsia="ru-RU"/>
        </w:rPr>
        <w:t xml:space="preserve">.).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>Для повышения уровня персональной ответственности председателей профсоюзных комитетов за положение дел в профсоюзных организациях, особенно имеющих охват профсоюзным членством среди работающих ниже 50%, практиковалось заслушивание их отчетов на Президиуме рескома после предварительной проверки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их организаторской работы и оказания практической помощи по увеличению профчленства. </w:t>
      </w: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33)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Изучалась также работа профкомов с высокой базой профчленства и опытом мотивационной работы в профсоюзе. Выезды проводились в 13 учреждений отрасли (перечень на слайде)</w:t>
      </w:r>
      <w:r w:rsidRPr="00C73FB2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t>.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Работа профкомов этих учреждений в период 2015–2019г.г. заслушивалась на заседаниях Президиума комитета ТРОПРЗ РФ, обсуждение результатов работы проводилось на выездных информационно-обучающих семинарах.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С целью возрождения роли профсоюзных собраний, обеспечения широкого информирования членов Профсоюза о деятельности организаций Профсоюза, принимаемых ими решений и проводимых мероприятиях, в практику работы профсоюзных структур ТРОПРЗ РФ с января 2017 года внедрено проведение ежегодного Открытого отчета. Отчёты проводятся на заседаниях выборных органов и конференциях, с последующим размещением текста отчета в открытом доступе на сайтах учреждения и профсоюзных уголках.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Благодаря активной работе по мотивации профсоюзного членства в первичных профорганизациях Зеленодольской, Кукморской, Пестречинской, Спасской центральных районных больниц, ГАУЗ «Детская поликлиника №10» г. Казани, ГАУЗ «Клиническая больница №2» г.Казани, Советской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районной организации численность членов профсоюза возросла по сравнению с предыдущим периодом. Отрицательная динамика профчленства сохраняется в учреждениях МКДЦ, Буинское медучилище, санаторий Черки-Кильдуразы, КГМА, КМИЗ и ряде других.</w:t>
      </w:r>
    </w:p>
    <w:p w:rsidR="00C73FB2" w:rsidRPr="00C73FB2" w:rsidRDefault="00C73FB2" w:rsidP="00C73F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целом проблема мотивации профсоюзного членства продолжает оставаться одним из самых актуальных направлений в деятельности всех профсоюзных организаций на предстоящий период.</w:t>
      </w:r>
    </w:p>
    <w:p w:rsidR="00C73FB2" w:rsidRPr="00C73FB2" w:rsidRDefault="00C73FB2" w:rsidP="00C73F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34)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 xml:space="preserve">Обязательной составляющей процесса становления осознанного профсоюзного членства, воспитания профсоюзных лидеров является образовательная деятельность, обучение профактива.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республиканском комитете имеется Фонд подготовки и обучения профсоюзных кадров и актива, средства которого формируются в размере 6% из всего профсоюзного бюджета и расходуются на обучение и подготовку профсоюзных кадров и актива.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>Сложившаяся система обучения способствует повышению квалификации и обучению профлидеров, способных вести профессиональный диалог с социальными партнерами, подготовке тренеров-преподавателей. Ответственность за реализацию этого важнейшего направления деятельности Профсоюза возлагается на руководителей организаций.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>Актуальными на предстоящий период являются задачи по увеличению охвата ежегодным обучением до 30% от общего числа профсоюзных кадров и актива, использование всех форм обучения с приоритетом применения непрерывного, в том числе дистанционного, обучения.</w:t>
      </w:r>
    </w:p>
    <w:p w:rsidR="00C73FB2" w:rsidRPr="00C73FB2" w:rsidRDefault="00C73FB2" w:rsidP="00C73FB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35)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>Информационная работа комитета ТРОПРЗ РФ осуществлялась в соответствии с Концепцией информационной политики ФНПР и ЦК Профсоюза. Все мероприятия, проводимые ТРОПРЗ РФ, получали отражение в средствах массовой информации и, прежде всего, на сайте комитета ТРОПРЗ РФ, а также сайте Федерации профсоюзов РТ, газете «Новое слово», журнале ЦК Профсоюза «Профсоюзная тема».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36) </w:t>
      </w:r>
      <w:r w:rsidRPr="00C73FB2">
        <w:rPr>
          <w:rFonts w:ascii="Times New Roman" w:eastAsia="Calibri" w:hAnsi="Times New Roman" w:cs="Times New Roman"/>
          <w:bCs/>
          <w:color w:val="000000"/>
          <w:sz w:val="32"/>
          <w:szCs w:val="32"/>
          <w:lang w:eastAsia="ru-RU"/>
        </w:rPr>
        <w:t>Большое внимание уделяется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подписке на профсоюзные газеты и др. профсоюзную литературу.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Комитетом ТРОПРЗ РФ в отчётном периоде продолжен выпуск информационных бюллетеней плакатной формы по вопросам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 xml:space="preserve">предоставления отпусков, охране труда, досрочной пенсии, правовым вопросам. Этими изданиями реском обеспечивает в полном объеме все местные и первичные организации Профсоюза.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Республиканским комитетом и рядом местных и первичных профорганизаций (Альметьевской, Н.Челнинской, Нижнекамской, Чистопольской) ежегодно печатаются и распространяются среди членов профсоюза мотивационные листки, буклеты, календари различного формата с профсоюзной символикой. Изготавливаются футболки, бейсболки, шарфы, значки, ручки, блокноты, флеш-карты и иная сувенирная продукция с профсоюзной символикой, которые распространяются среди учащейся молодежи и работников отрасли.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Многие организации для информирования о мероприятиях и новостях используют социальные сети: В Контакте, Instagram, WhatsApp, электронную почту.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Хорошим примером является работа профорганизации студентов КГМУ, и не только по информационной работе. Попросим председателя молодёжного совета нашей организации выступить в прениях и в целом ознакомить нас с работой комитета ТРОПРЗ РФ по молодёжной политике.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37)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Комитет ТРОПРЗ РФ также уделяет внимание развитию имеющихся каналов электронной связи. В 2016 году проведено обновление официального сайта ТРОПРЗ РФ.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В ноябре 2017 года наша организация стала одним из лауреатов медиа-конкурса Федерации профсоюзов РТ, посвященного Году профсоюзной информации, в номинации «Лучший сайт членской профсоюзной организации».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38)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На телеканале «Татарстан – Новый век» в программе ФПРТ «Профсоюз - союз сильных», отражается работа и нашей организации.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Интервью председателя ТРОПРЗ РФ были размещены в газете «Новое слово» и «Аргументы и факты», в передаче «Актуальный разговор» новостного канала Татарстана «Эфир-24».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39)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Материалы о работе местных и первичных профорганизаций регулярно (2-3 раза в год) публикуются в местной периодической печати.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Первичные организации профсоюза студентов КГМУ и Казанского медицинского колледжа публикуют свою информацию в студенческих газетах учебных заведений.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lastRenderedPageBreak/>
        <w:t>В республиканском комитете образован специальный Фонд единой</w:t>
      </w:r>
      <w:r w:rsidRPr="00C73FB2">
        <w:rPr>
          <w:rFonts w:ascii="Times New Roman" w:eastAsia="Calibri" w:hAnsi="Times New Roman" w:cs="Times New Roman"/>
          <w:color w:val="FF6600"/>
          <w:sz w:val="32"/>
          <w:szCs w:val="32"/>
          <w:lang w:eastAsia="ru-RU"/>
        </w:rPr>
        <w:t xml:space="preserve">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информационной политики.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40)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Вопрос о ходе реализации информационной политики Профсоюза в Татарстанской республиканской организации Профсоюза был рассмотрен на </w:t>
      </w:r>
      <w:r w:rsidRPr="00C73FB2">
        <w:rPr>
          <w:rFonts w:ascii="Times New Roman" w:eastAsia="Calibri" w:hAnsi="Times New Roman" w:cs="Times New Roman"/>
          <w:sz w:val="32"/>
          <w:szCs w:val="32"/>
          <w:lang w:val="en-US" w:eastAsia="ru-RU"/>
        </w:rPr>
        <w:t>VII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Пленуме комитета ТРОПРЗ РФ в декабре 2017г.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Задачи по информационной работе на предстоящий период вы видите на слайде.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i/>
          <w:sz w:val="32"/>
          <w:szCs w:val="32"/>
          <w:lang w:eastAsia="ru-RU"/>
        </w:rPr>
        <w:t>Уважаемые коллеги,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Одной из важнейших составляющих в деятельности организаций Профсоюза является финансовая работа.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b/>
          <w:sz w:val="32"/>
          <w:szCs w:val="32"/>
        </w:rPr>
        <w:t>(Слайд 41)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Одним из важнейших разделов работы всех профсоюзных организаций является финансовая деятельность. Татарстанская республиканская организация профсоюза работников здравоохранения РФ за отчетный период проводила работу, направленную на реализацию решений </w:t>
      </w:r>
      <w:r w:rsidRPr="00C73FB2">
        <w:rPr>
          <w:rFonts w:ascii="Times New Roman" w:eastAsia="Calibri" w:hAnsi="Times New Roman" w:cs="Times New Roman"/>
          <w:sz w:val="32"/>
          <w:szCs w:val="32"/>
          <w:lang w:val="en-US"/>
        </w:rPr>
        <w:t>VII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73FB2">
        <w:rPr>
          <w:rFonts w:ascii="Times New Roman" w:eastAsia="Calibri" w:hAnsi="Times New Roman" w:cs="Times New Roman"/>
          <w:sz w:val="32"/>
          <w:szCs w:val="32"/>
          <w:lang w:val="en-US"/>
        </w:rPr>
        <w:t>c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ъезда ФНПР, </w:t>
      </w:r>
      <w:r w:rsidRPr="00C73FB2">
        <w:rPr>
          <w:rFonts w:ascii="Times New Roman" w:eastAsia="Calibri" w:hAnsi="Times New Roman" w:cs="Times New Roman"/>
          <w:sz w:val="32"/>
          <w:szCs w:val="32"/>
          <w:lang w:val="en-US"/>
        </w:rPr>
        <w:t>VI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 съезда профсоюза работников здравоохранения Российской Федерации.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Для реализации данной задачи был сформирован </w:t>
      </w:r>
      <w:r w:rsidRPr="00C73FB2">
        <w:rPr>
          <w:rFonts w:ascii="Times New Roman" w:eastAsia="Calibri" w:hAnsi="Times New Roman" w:cs="Times New Roman"/>
          <w:b/>
          <w:sz w:val="32"/>
          <w:szCs w:val="32"/>
        </w:rPr>
        <w:t>единый подход в проведении финансовой политики в республиканской организации Профсоюза.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Профсоюзный бюджет комитета ТРОПРЗ РФ ежегодно рассматривался и утверждался на Пленумах комитета, где принимались решения об отчислении в комитет ТРОПРЗ процента членских профсоюзных взносов для каждой профсоюзной организации. 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>В целях постоянного контроля за соблюдением финансовой дисциплины и финансовых обязательств комитетом ТРОПРЗ РФ разработана форма отчетности о фонде оплаты труда и членских профсоюзных взносах, удержанных из заработной платы и перечисленных профсоюзным органам, которая составляется и подписывается руководителем и главным бухгалтером организации. Закрепление данного пункта в коллективных договорах организаций позволило выборным органам Профсоюза получать необходимую информацию и контролировать полноту валового сбора профвзносов.</w:t>
      </w:r>
    </w:p>
    <w:p w:rsidR="00C73FB2" w:rsidRPr="00C73FB2" w:rsidRDefault="00C73FB2" w:rsidP="00C73FB2">
      <w:pPr>
        <w:spacing w:after="0" w:line="240" w:lineRule="auto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42) </w:t>
      </w: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Данная система контроля позволила комитету ТРОПРЗ РФ увеличить полноту сбора членских профсоюзных </w:t>
      </w:r>
      <w:r w:rsidRPr="00C73FB2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взносов и пополнить профсоюзный бюджет за отчетный период на 3,3 млн рублей.  </w:t>
      </w:r>
    </w:p>
    <w:p w:rsidR="00C73FB2" w:rsidRPr="00C73FB2" w:rsidRDefault="00C73FB2" w:rsidP="00C73FB2">
      <w:pPr>
        <w:tabs>
          <w:tab w:val="left" w:pos="97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sz w:val="32"/>
          <w:szCs w:val="32"/>
        </w:rPr>
        <w:t xml:space="preserve">Укрепление финансовой базы - условие создания сильного Профсоюза, способного реально защищать экономические и социальные интересы членов профсоюза. 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Уважаемые коллеги!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Сегодня вы вкратце познакомились с той работой, которую проводят территориальные и первичные организации Профсоюза в Республике Татарстан в интересах членов профсоюза.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Многое нами делается, многое предстоит сделать. Жизнь ставит перед нами все новые и новые задачи по всем направлениям деятельности, для успешного выполнения которых нам необходимо совершенствовать свою деятельность.</w:t>
      </w: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Результатом станет улучшение деятельности, направленной на выполнение основной цели Профсоюза, -  представительство и защита прав и интересов членов Профсоюза в трудовых и связанных с трудом отношениях.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(Слайд 43) </w:t>
      </w:r>
      <w:r w:rsidRPr="00C73FB2">
        <w:rPr>
          <w:rFonts w:ascii="Times New Roman" w:eastAsia="Calibri" w:hAnsi="Times New Roman" w:cs="Times New Roman"/>
          <w:sz w:val="32"/>
          <w:szCs w:val="32"/>
          <w:lang w:eastAsia="ru-RU"/>
        </w:rPr>
        <w:t>Спасибо за внимание.</w:t>
      </w:r>
    </w:p>
    <w:p w:rsidR="00C73FB2" w:rsidRPr="00C73FB2" w:rsidRDefault="00C73FB2" w:rsidP="00C73FB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73FB2" w:rsidRPr="00C73FB2" w:rsidRDefault="00C73FB2" w:rsidP="00C73FB2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32"/>
          <w:szCs w:val="32"/>
        </w:rPr>
      </w:pPr>
      <w:r w:rsidRPr="00C73FB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(Слайд 44) заставка</w:t>
      </w:r>
    </w:p>
    <w:p w:rsidR="002D710F" w:rsidRDefault="002D710F">
      <w:bookmarkStart w:id="0" w:name="_GoBack"/>
      <w:bookmarkEnd w:id="0"/>
    </w:p>
    <w:sectPr w:rsidR="002D710F" w:rsidSect="000F0BCC">
      <w:footerReference w:type="default" r:id="rId7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D0" w:rsidRDefault="00C73FB2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CD67D0" w:rsidRDefault="00C73FB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2"/>
    <w:rsid w:val="002D710F"/>
    <w:rsid w:val="00C7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3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zd.duma.gov.ru/bill/139439-7" TargetMode="External"/><Relationship Id="rId5" Type="http://schemas.openxmlformats.org/officeDocument/2006/relationships/hyperlink" Target="https://sozd.duma.gov.ru/bill/139437-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4356</Words>
  <Characters>24833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center</cp:lastModifiedBy>
  <cp:revision>1</cp:revision>
  <dcterms:created xsi:type="dcterms:W3CDTF">2019-11-25T06:02:00Z</dcterms:created>
  <dcterms:modified xsi:type="dcterms:W3CDTF">2019-11-25T06:04:00Z</dcterms:modified>
</cp:coreProperties>
</file>